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A8356" w14:textId="6631BEAD" w:rsidR="00A535CB" w:rsidRDefault="00BB3BA0">
      <w:pPr>
        <w:rPr>
          <w:rFonts w:ascii="Arial" w:hAnsi="Arial" w:cs="Arial"/>
          <w:b/>
          <w:noProof/>
          <w:sz w:val="28"/>
          <w:lang w:eastAsia="en-GB"/>
        </w:rPr>
      </w:pPr>
      <w:r>
        <w:rPr>
          <w:rFonts w:ascii="Arial" w:hAnsi="Arial" w:cs="Arial"/>
          <w:b/>
          <w:noProof/>
          <w:sz w:val="28"/>
          <w:lang w:eastAsia="en-GB"/>
        </w:rPr>
        <w:drawing>
          <wp:anchor distT="0" distB="0" distL="114300" distR="114300" simplePos="0" relativeHeight="251658240" behindDoc="0" locked="0" layoutInCell="1" allowOverlap="1" wp14:anchorId="1D6CE21E" wp14:editId="358AFC33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463694" w14:textId="77777777" w:rsidR="00BB3BA0" w:rsidRPr="00085EBC" w:rsidRDefault="00BB3BA0" w:rsidP="00BB3BA0">
      <w:pPr>
        <w:pStyle w:val="Header"/>
        <w:rPr>
          <w:rFonts w:ascii="Arial" w:hAnsi="Arial" w:cs="Arial"/>
          <w:b/>
          <w:bCs/>
          <w:sz w:val="28"/>
          <w:szCs w:val="28"/>
        </w:rPr>
      </w:pPr>
      <w:r w:rsidRPr="00085EBC">
        <w:rPr>
          <w:rFonts w:ascii="Arial" w:hAnsi="Arial" w:cs="Arial"/>
          <w:b/>
          <w:bCs/>
          <w:sz w:val="28"/>
          <w:szCs w:val="28"/>
        </w:rPr>
        <w:t>Worksheet – Legislation in the science sector</w:t>
      </w:r>
    </w:p>
    <w:p w14:paraId="6B897479" w14:textId="77777777" w:rsidR="00BB3BA0" w:rsidRDefault="00BB3BA0" w:rsidP="7EBE17C9">
      <w:pPr>
        <w:rPr>
          <w:rFonts w:ascii="Arial" w:hAnsi="Arial" w:cs="Arial"/>
          <w:b/>
          <w:bCs/>
          <w:noProof/>
          <w:sz w:val="28"/>
          <w:szCs w:val="28"/>
          <w:lang w:eastAsia="en-GB"/>
        </w:rPr>
      </w:pPr>
    </w:p>
    <w:p w14:paraId="7659443E" w14:textId="7B75A6B5" w:rsidR="00A535CB" w:rsidRDefault="00A535CB" w:rsidP="7EBE17C9">
      <w:pPr>
        <w:rPr>
          <w:rFonts w:ascii="Arial" w:hAnsi="Arial" w:cs="Arial"/>
          <w:b/>
          <w:bCs/>
          <w:noProof/>
          <w:sz w:val="28"/>
          <w:szCs w:val="28"/>
          <w:lang w:eastAsia="en-GB"/>
        </w:rPr>
      </w:pPr>
      <w:r w:rsidRPr="7EBE17C9">
        <w:rPr>
          <w:rFonts w:ascii="Arial" w:hAnsi="Arial" w:cs="Arial"/>
          <w:b/>
          <w:bCs/>
          <w:noProof/>
          <w:sz w:val="28"/>
          <w:szCs w:val="28"/>
          <w:lang w:eastAsia="en-GB"/>
        </w:rPr>
        <w:t xml:space="preserve">Activity 1 </w:t>
      </w:r>
      <w:r w:rsidR="0036130A">
        <w:rPr>
          <w:rFonts w:ascii="Arial" w:hAnsi="Arial" w:cs="Arial"/>
          <w:b/>
          <w:bCs/>
          <w:noProof/>
          <w:sz w:val="28"/>
          <w:szCs w:val="28"/>
          <w:lang w:eastAsia="en-GB"/>
        </w:rPr>
        <w:t xml:space="preserve">– </w:t>
      </w:r>
      <w:r w:rsidRPr="7EBE17C9">
        <w:rPr>
          <w:rFonts w:ascii="Arial" w:hAnsi="Arial" w:cs="Arial"/>
          <w:b/>
          <w:bCs/>
          <w:noProof/>
          <w:sz w:val="28"/>
          <w:szCs w:val="28"/>
          <w:lang w:eastAsia="en-GB"/>
        </w:rPr>
        <w:t xml:space="preserve">Answer </w:t>
      </w:r>
      <w:r w:rsidR="0036130A">
        <w:rPr>
          <w:rFonts w:ascii="Arial" w:hAnsi="Arial" w:cs="Arial"/>
          <w:b/>
          <w:bCs/>
          <w:noProof/>
          <w:sz w:val="28"/>
          <w:szCs w:val="28"/>
          <w:lang w:eastAsia="en-GB"/>
        </w:rPr>
        <w:t>s</w:t>
      </w:r>
      <w:r w:rsidR="0036130A" w:rsidRPr="7EBE17C9">
        <w:rPr>
          <w:rFonts w:ascii="Arial" w:hAnsi="Arial" w:cs="Arial"/>
          <w:b/>
          <w:bCs/>
          <w:noProof/>
          <w:sz w:val="28"/>
          <w:szCs w:val="28"/>
          <w:lang w:eastAsia="en-GB"/>
        </w:rPr>
        <w:t>heet</w:t>
      </w:r>
    </w:p>
    <w:p w14:paraId="7C0C52E0" w14:textId="21B84C78" w:rsidR="00A535CB" w:rsidRDefault="00A535CB">
      <w:pPr>
        <w:rPr>
          <w:rFonts w:ascii="Arial" w:hAnsi="Arial" w:cs="Arial"/>
          <w:noProof/>
          <w:sz w:val="24"/>
          <w:lang w:eastAsia="en-GB"/>
        </w:rPr>
      </w:pPr>
      <w:r>
        <w:rPr>
          <w:rFonts w:ascii="Arial" w:hAnsi="Arial" w:cs="Arial"/>
          <w:noProof/>
          <w:sz w:val="24"/>
          <w:lang w:eastAsia="en-GB"/>
        </w:rPr>
        <w:t xml:space="preserve">The names of </w:t>
      </w:r>
      <w:r w:rsidR="0036130A">
        <w:rPr>
          <w:rFonts w:ascii="Arial" w:hAnsi="Arial" w:cs="Arial"/>
          <w:noProof/>
          <w:sz w:val="24"/>
          <w:lang w:eastAsia="en-GB"/>
        </w:rPr>
        <w:t xml:space="preserve">pieces of </w:t>
      </w:r>
      <w:r>
        <w:rPr>
          <w:rFonts w:ascii="Arial" w:hAnsi="Arial" w:cs="Arial"/>
          <w:noProof/>
          <w:sz w:val="24"/>
          <w:lang w:eastAsia="en-GB"/>
        </w:rPr>
        <w:t xml:space="preserve">legislation and their descriptions </w:t>
      </w:r>
      <w:r w:rsidR="0036130A">
        <w:rPr>
          <w:rFonts w:ascii="Arial" w:hAnsi="Arial" w:cs="Arial"/>
          <w:noProof/>
          <w:sz w:val="24"/>
          <w:lang w:eastAsia="en-GB"/>
        </w:rPr>
        <w:t xml:space="preserve">have been mixed up in </w:t>
      </w:r>
      <w:r>
        <w:rPr>
          <w:rFonts w:ascii="Arial" w:hAnsi="Arial" w:cs="Arial"/>
          <w:noProof/>
          <w:sz w:val="24"/>
          <w:lang w:eastAsia="en-GB"/>
        </w:rPr>
        <w:t>the table below.</w:t>
      </w:r>
    </w:p>
    <w:p w14:paraId="4AE0386A" w14:textId="4140E03D" w:rsidR="00A535CB" w:rsidRDefault="00A535CB">
      <w:pPr>
        <w:rPr>
          <w:rFonts w:ascii="Arial" w:hAnsi="Arial" w:cs="Arial"/>
          <w:noProof/>
          <w:sz w:val="24"/>
          <w:lang w:eastAsia="en-GB"/>
        </w:rPr>
      </w:pPr>
      <w:r>
        <w:rPr>
          <w:rFonts w:ascii="Arial" w:hAnsi="Arial" w:cs="Arial"/>
          <w:noProof/>
          <w:sz w:val="24"/>
          <w:lang w:eastAsia="en-GB"/>
        </w:rPr>
        <w:t xml:space="preserve">Match the correct title </w:t>
      </w:r>
      <w:r w:rsidR="00433929">
        <w:rPr>
          <w:rFonts w:ascii="Arial" w:hAnsi="Arial" w:cs="Arial"/>
          <w:noProof/>
          <w:sz w:val="24"/>
          <w:lang w:eastAsia="en-GB"/>
        </w:rPr>
        <w:t>with t</w:t>
      </w:r>
      <w:r>
        <w:rPr>
          <w:rFonts w:ascii="Arial" w:hAnsi="Arial" w:cs="Arial"/>
          <w:noProof/>
          <w:sz w:val="24"/>
          <w:lang w:eastAsia="en-GB"/>
        </w:rPr>
        <w:t xml:space="preserve">he </w:t>
      </w:r>
      <w:r w:rsidR="00AF7356">
        <w:rPr>
          <w:rFonts w:ascii="Arial" w:hAnsi="Arial" w:cs="Arial"/>
          <w:noProof/>
          <w:sz w:val="24"/>
          <w:lang w:eastAsia="en-GB"/>
        </w:rPr>
        <w:t>description of what the regulation cover</w:t>
      </w:r>
      <w:r w:rsidR="00A75C5C">
        <w:rPr>
          <w:rFonts w:ascii="Arial" w:hAnsi="Arial" w:cs="Arial"/>
          <w:noProof/>
          <w:sz w:val="24"/>
          <w:lang w:eastAsia="en-GB"/>
        </w:rPr>
        <w:t>s</w:t>
      </w:r>
      <w:r w:rsidR="00AF7356">
        <w:rPr>
          <w:rFonts w:ascii="Arial" w:hAnsi="Arial" w:cs="Arial"/>
          <w:noProof/>
          <w:sz w:val="24"/>
          <w:lang w:eastAsia="en-GB"/>
        </w:rPr>
        <w:t>.</w:t>
      </w:r>
    </w:p>
    <w:p w14:paraId="0B83808F" w14:textId="02CB0EF5" w:rsidR="00AF7356" w:rsidRDefault="00AF7356">
      <w:pPr>
        <w:rPr>
          <w:rFonts w:ascii="Arial" w:hAnsi="Arial" w:cs="Arial"/>
          <w:noProof/>
          <w:sz w:val="24"/>
          <w:lang w:eastAsia="en-GB"/>
        </w:rPr>
      </w:pPr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4508"/>
        <w:gridCol w:w="4508"/>
      </w:tblGrid>
      <w:tr w:rsidR="00AF7356" w14:paraId="7F13789D" w14:textId="77777777" w:rsidTr="00AF7356">
        <w:tc>
          <w:tcPr>
            <w:tcW w:w="4508" w:type="dxa"/>
          </w:tcPr>
          <w:p w14:paraId="1A63E87B" w14:textId="77777777" w:rsidR="00AF7356" w:rsidRPr="008E3F3A" w:rsidRDefault="00AF7356" w:rsidP="00AF735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E3F3A">
              <w:rPr>
                <w:rFonts w:ascii="Arial" w:hAnsi="Arial" w:cs="Arial"/>
                <w:b/>
                <w:sz w:val="24"/>
                <w:szCs w:val="24"/>
              </w:rPr>
              <w:t>Legislation</w:t>
            </w:r>
          </w:p>
          <w:p w14:paraId="5067558B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  <w:tc>
          <w:tcPr>
            <w:tcW w:w="4508" w:type="dxa"/>
          </w:tcPr>
          <w:p w14:paraId="27499388" w14:textId="05DA8271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</w:tr>
      <w:tr w:rsidR="00AF7356" w14:paraId="7542F0FC" w14:textId="77777777" w:rsidTr="00AF7356">
        <w:tc>
          <w:tcPr>
            <w:tcW w:w="4508" w:type="dxa"/>
          </w:tcPr>
          <w:p w14:paraId="3BF9BF46" w14:textId="2ACACEAB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Health and Safety at Work Act (1974)</w:t>
            </w:r>
          </w:p>
        </w:tc>
        <w:tc>
          <w:tcPr>
            <w:tcW w:w="4508" w:type="dxa"/>
          </w:tcPr>
          <w:p w14:paraId="416730A4" w14:textId="70E74B7D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Outlines the steps an employer must reasonably take to ensure</w:t>
            </w:r>
            <w:r w:rsidR="00A75C5C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8E3F3A">
              <w:rPr>
                <w:rFonts w:ascii="Arial" w:hAnsi="Arial" w:cs="Arial"/>
                <w:sz w:val="24"/>
                <w:szCs w:val="24"/>
              </w:rPr>
              <w:t xml:space="preserve"> the health, </w:t>
            </w:r>
            <w:proofErr w:type="gramStart"/>
            <w:r w:rsidRPr="008E3F3A">
              <w:rPr>
                <w:rFonts w:ascii="Arial" w:hAnsi="Arial" w:cs="Arial"/>
                <w:sz w:val="24"/>
                <w:szCs w:val="24"/>
              </w:rPr>
              <w:t>safety</w:t>
            </w:r>
            <w:proofErr w:type="gramEnd"/>
            <w:r w:rsidRPr="008E3F3A">
              <w:rPr>
                <w:rFonts w:ascii="Arial" w:hAnsi="Arial" w:cs="Arial"/>
                <w:sz w:val="24"/>
                <w:szCs w:val="24"/>
              </w:rPr>
              <w:t xml:space="preserve"> and welfare of employees is maintained whil</w:t>
            </w:r>
            <w:r w:rsidR="00A75C5C">
              <w:rPr>
                <w:rFonts w:ascii="Arial" w:hAnsi="Arial" w:cs="Arial"/>
                <w:sz w:val="24"/>
                <w:szCs w:val="24"/>
              </w:rPr>
              <w:t xml:space="preserve">e </w:t>
            </w:r>
            <w:r w:rsidRPr="008E3F3A">
              <w:rPr>
                <w:rFonts w:ascii="Arial" w:hAnsi="Arial" w:cs="Arial"/>
                <w:sz w:val="24"/>
                <w:szCs w:val="24"/>
              </w:rPr>
              <w:t>at their place of work</w:t>
            </w:r>
            <w:r w:rsidR="00A75C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72BC3A2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1EF4AF2C" w14:textId="77777777" w:rsidTr="00AF7356">
        <w:tc>
          <w:tcPr>
            <w:tcW w:w="4508" w:type="dxa"/>
          </w:tcPr>
          <w:p w14:paraId="5A8B7275" w14:textId="2EC1D819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Management of the Health and Safety at Work Regulations (1999)</w:t>
            </w:r>
          </w:p>
        </w:tc>
        <w:tc>
          <w:tcPr>
            <w:tcW w:w="4508" w:type="dxa"/>
          </w:tcPr>
          <w:p w14:paraId="5D8C0CB9" w14:textId="07F32FF5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Aim</w:t>
            </w:r>
            <w:r w:rsidR="00433929">
              <w:rPr>
                <w:rFonts w:ascii="Arial" w:hAnsi="Arial" w:cs="Arial"/>
                <w:sz w:val="24"/>
                <w:szCs w:val="24"/>
              </w:rPr>
              <w:t xml:space="preserve">ed at reducing </w:t>
            </w:r>
            <w:r w:rsidRPr="008E3F3A">
              <w:rPr>
                <w:rFonts w:ascii="Arial" w:hAnsi="Arial" w:cs="Arial"/>
                <w:sz w:val="24"/>
                <w:szCs w:val="24"/>
              </w:rPr>
              <w:t xml:space="preserve">the number and severity of accidents in the workplace through </w:t>
            </w:r>
            <w:r w:rsidR="00A75C5C">
              <w:rPr>
                <w:rFonts w:ascii="Arial" w:hAnsi="Arial" w:cs="Arial"/>
                <w:sz w:val="24"/>
                <w:szCs w:val="24"/>
              </w:rPr>
              <w:t xml:space="preserve">risk </w:t>
            </w:r>
            <w:r w:rsidRPr="008E3F3A">
              <w:rPr>
                <w:rFonts w:ascii="Arial" w:hAnsi="Arial" w:cs="Arial"/>
                <w:sz w:val="24"/>
                <w:szCs w:val="24"/>
              </w:rPr>
              <w:t>assessment and management</w:t>
            </w:r>
            <w:r w:rsidR="00A75C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2B2D02A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782D3BED" w14:textId="77777777" w:rsidTr="00AF7356">
        <w:tc>
          <w:tcPr>
            <w:tcW w:w="4508" w:type="dxa"/>
          </w:tcPr>
          <w:p w14:paraId="4AC30E64" w14:textId="60D106A6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Personal Protective Equipment (Enforcement) Regulations (2018)</w:t>
            </w:r>
          </w:p>
        </w:tc>
        <w:tc>
          <w:tcPr>
            <w:tcW w:w="4508" w:type="dxa"/>
          </w:tcPr>
          <w:p w14:paraId="4DF8E84B" w14:textId="77777777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Defines employer responsibilities to provide appropriate personal protective equipment to reduce harm to employees, </w:t>
            </w:r>
            <w:proofErr w:type="gramStart"/>
            <w:r w:rsidRPr="008E3F3A">
              <w:rPr>
                <w:rFonts w:ascii="Arial" w:hAnsi="Arial" w:cs="Arial"/>
                <w:sz w:val="24"/>
                <w:szCs w:val="24"/>
              </w:rPr>
              <w:t>visitors</w:t>
            </w:r>
            <w:proofErr w:type="gramEnd"/>
            <w:r w:rsidRPr="008E3F3A">
              <w:rPr>
                <w:rFonts w:ascii="Arial" w:hAnsi="Arial" w:cs="Arial"/>
                <w:sz w:val="24"/>
                <w:szCs w:val="24"/>
              </w:rPr>
              <w:t xml:space="preserve"> and clients.</w:t>
            </w:r>
          </w:p>
          <w:p w14:paraId="380BF3A9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6028901F" w14:textId="77777777" w:rsidTr="00AF7356">
        <w:tc>
          <w:tcPr>
            <w:tcW w:w="4508" w:type="dxa"/>
          </w:tcPr>
          <w:p w14:paraId="432316B4" w14:textId="60F464DA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Control of Substances Hazardous to Health (COSHH) (2002)</w:t>
            </w:r>
          </w:p>
        </w:tc>
        <w:tc>
          <w:tcPr>
            <w:tcW w:w="4508" w:type="dxa"/>
          </w:tcPr>
          <w:p w14:paraId="1ACDF6B5" w14:textId="664448AD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The regulations require employers to prevent or reduce the exposure of employees to substances which are hazardous to health</w:t>
            </w:r>
            <w:r w:rsidR="00A75C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42AC4B8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5418E5EA" w14:textId="77777777" w:rsidTr="00AF7356">
        <w:tc>
          <w:tcPr>
            <w:tcW w:w="4508" w:type="dxa"/>
          </w:tcPr>
          <w:p w14:paraId="3A014F75" w14:textId="6A7E4CBA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Manual Handling Operations Regulations (1992)</w:t>
            </w:r>
          </w:p>
        </w:tc>
        <w:tc>
          <w:tcPr>
            <w:tcW w:w="4508" w:type="dxa"/>
          </w:tcPr>
          <w:p w14:paraId="0A5266A5" w14:textId="45211BB4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Employers are legally obliged to assess and minimise the risk to </w:t>
            </w:r>
            <w:r w:rsidR="00A858E2" w:rsidRPr="008E3F3A">
              <w:rPr>
                <w:rFonts w:ascii="Arial" w:hAnsi="Arial" w:cs="Arial"/>
                <w:sz w:val="24"/>
                <w:szCs w:val="24"/>
              </w:rPr>
              <w:t>employee</w:t>
            </w:r>
            <w:r w:rsidR="00F24C3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E3F3A">
              <w:rPr>
                <w:rFonts w:ascii="Arial" w:hAnsi="Arial" w:cs="Arial"/>
                <w:sz w:val="24"/>
                <w:szCs w:val="24"/>
              </w:rPr>
              <w:t xml:space="preserve">health involved in the manual handling, </w:t>
            </w:r>
            <w:proofErr w:type="gramStart"/>
            <w:r w:rsidRPr="008E3F3A">
              <w:rPr>
                <w:rFonts w:ascii="Arial" w:hAnsi="Arial" w:cs="Arial"/>
                <w:sz w:val="24"/>
                <w:szCs w:val="24"/>
              </w:rPr>
              <w:t>moving</w:t>
            </w:r>
            <w:proofErr w:type="gramEnd"/>
            <w:r w:rsidRPr="008E3F3A">
              <w:rPr>
                <w:rFonts w:ascii="Arial" w:hAnsi="Arial" w:cs="Arial"/>
                <w:sz w:val="24"/>
                <w:szCs w:val="24"/>
              </w:rPr>
              <w:t xml:space="preserve"> and positioning of objects</w:t>
            </w:r>
            <w:r w:rsidR="00A75C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389113" w14:textId="77777777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F5217E4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0EFCB2C6" w14:textId="77777777" w:rsidTr="00AF7356">
        <w:tc>
          <w:tcPr>
            <w:tcW w:w="4508" w:type="dxa"/>
          </w:tcPr>
          <w:p w14:paraId="110B5741" w14:textId="1322442C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Display Screen Equipment Regulations (1992)</w:t>
            </w:r>
          </w:p>
        </w:tc>
        <w:tc>
          <w:tcPr>
            <w:tcW w:w="4508" w:type="dxa"/>
          </w:tcPr>
          <w:p w14:paraId="249DFD4A" w14:textId="0E14509E" w:rsidR="00AF7356" w:rsidRPr="008E3F3A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Places a requirement on employers to ensure protection for workers from the </w:t>
            </w:r>
            <w:r w:rsidRPr="008E3F3A">
              <w:rPr>
                <w:rFonts w:ascii="Arial" w:hAnsi="Arial" w:cs="Arial"/>
                <w:sz w:val="24"/>
                <w:szCs w:val="24"/>
              </w:rPr>
              <w:lastRenderedPageBreak/>
              <w:t>health risk</w:t>
            </w:r>
            <w:r w:rsidR="00A75C5C">
              <w:rPr>
                <w:rFonts w:ascii="Arial" w:hAnsi="Arial" w:cs="Arial"/>
                <w:sz w:val="24"/>
                <w:szCs w:val="24"/>
              </w:rPr>
              <w:t>s</w:t>
            </w:r>
            <w:r w:rsidRPr="008E3F3A">
              <w:rPr>
                <w:rFonts w:ascii="Arial" w:hAnsi="Arial" w:cs="Arial"/>
                <w:sz w:val="24"/>
                <w:szCs w:val="24"/>
              </w:rPr>
              <w:t xml:space="preserve"> associated with using display screen equipment</w:t>
            </w:r>
            <w:r w:rsidR="00A75C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B1F0D49" w14:textId="7777777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35C0EF28" w14:textId="77777777" w:rsidTr="00AF7356">
        <w:tc>
          <w:tcPr>
            <w:tcW w:w="4508" w:type="dxa"/>
          </w:tcPr>
          <w:p w14:paraId="49B1A455" w14:textId="5C0AC74A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lastRenderedPageBreak/>
              <w:t>Waste Electrical and Electronic Equipment Regulations (WEEE) (2012)</w:t>
            </w:r>
          </w:p>
        </w:tc>
        <w:tc>
          <w:tcPr>
            <w:tcW w:w="4508" w:type="dxa"/>
          </w:tcPr>
          <w:p w14:paraId="1546A524" w14:textId="11A7116E" w:rsidR="00AF7356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Reduce the amount of electronic and electrical equipment incinerated or sent to landfill. Businesses should store and correctly transport electrical waste</w:t>
            </w:r>
            <w:r w:rsidR="00A75C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EFA331C" w14:textId="03ACBFCC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75977381" w14:textId="77777777" w:rsidTr="00AF7356">
        <w:tc>
          <w:tcPr>
            <w:tcW w:w="4508" w:type="dxa"/>
          </w:tcPr>
          <w:p w14:paraId="2FE04319" w14:textId="33745307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Reporting of Injuries, Diseases and Dangerous Occurrences Regulations (RIDDOR) (2013)</w:t>
            </w:r>
          </w:p>
        </w:tc>
        <w:tc>
          <w:tcPr>
            <w:tcW w:w="4508" w:type="dxa"/>
          </w:tcPr>
          <w:p w14:paraId="0F1C71A6" w14:textId="2D238A52" w:rsidR="00AF7356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Defines </w:t>
            </w:r>
            <w:r w:rsidR="00A858E2" w:rsidRPr="008E3F3A">
              <w:rPr>
                <w:rFonts w:ascii="Arial" w:hAnsi="Arial" w:cs="Arial"/>
                <w:sz w:val="24"/>
                <w:szCs w:val="24"/>
              </w:rPr>
              <w:t>employer</w:t>
            </w:r>
            <w:r w:rsidR="00A85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E3F3A">
              <w:rPr>
                <w:rFonts w:ascii="Arial" w:hAnsi="Arial" w:cs="Arial"/>
                <w:sz w:val="24"/>
                <w:szCs w:val="24"/>
              </w:rPr>
              <w:t>duties to report serious workplace accidents, occupational diseases and specified dangerous occurrences (</w:t>
            </w:r>
            <w:r w:rsidR="00A75C5C">
              <w:rPr>
                <w:rFonts w:ascii="Arial" w:hAnsi="Arial" w:cs="Arial"/>
                <w:sz w:val="24"/>
                <w:szCs w:val="24"/>
              </w:rPr>
              <w:t>“</w:t>
            </w:r>
            <w:r w:rsidRPr="008E3F3A">
              <w:rPr>
                <w:rFonts w:ascii="Arial" w:hAnsi="Arial" w:cs="Arial"/>
                <w:sz w:val="24"/>
                <w:szCs w:val="24"/>
              </w:rPr>
              <w:t>near misses</w:t>
            </w:r>
            <w:r w:rsidR="00A75C5C">
              <w:rPr>
                <w:rFonts w:ascii="Arial" w:hAnsi="Arial" w:cs="Arial"/>
                <w:sz w:val="24"/>
                <w:szCs w:val="24"/>
              </w:rPr>
              <w:t>”</w:t>
            </w:r>
            <w:r w:rsidRPr="008E3F3A">
              <w:rPr>
                <w:rFonts w:ascii="Arial" w:hAnsi="Arial" w:cs="Arial"/>
                <w:sz w:val="24"/>
                <w:szCs w:val="24"/>
              </w:rPr>
              <w:t>)</w:t>
            </w:r>
            <w:r w:rsidR="00A75C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97AE7E7" w14:textId="13466850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4C20E7A8" w14:textId="77777777" w:rsidTr="00AF7356">
        <w:tc>
          <w:tcPr>
            <w:tcW w:w="4508" w:type="dxa"/>
          </w:tcPr>
          <w:p w14:paraId="5021E6DE" w14:textId="523A1A1D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Regulatory Reform (Fire S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8E3F3A">
              <w:rPr>
                <w:rFonts w:ascii="Arial" w:hAnsi="Arial" w:cs="Arial"/>
                <w:sz w:val="24"/>
                <w:szCs w:val="24"/>
              </w:rPr>
              <w:t>fety) Order (RRO) (2005)</w:t>
            </w:r>
          </w:p>
        </w:tc>
        <w:tc>
          <w:tcPr>
            <w:tcW w:w="4508" w:type="dxa"/>
          </w:tcPr>
          <w:p w14:paraId="37D50549" w14:textId="477E2735" w:rsidR="00AF7356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To reduce death, damage and injury caused by fire by placing legal responsibilities on employers for fire</w:t>
            </w:r>
            <w:r w:rsidR="00A75C5C">
              <w:rPr>
                <w:rFonts w:ascii="Arial" w:hAnsi="Arial" w:cs="Arial"/>
                <w:sz w:val="24"/>
                <w:szCs w:val="24"/>
              </w:rPr>
              <w:t>-</w:t>
            </w:r>
            <w:r w:rsidRPr="008E3F3A">
              <w:rPr>
                <w:rFonts w:ascii="Arial" w:hAnsi="Arial" w:cs="Arial"/>
                <w:sz w:val="24"/>
                <w:szCs w:val="24"/>
              </w:rPr>
              <w:t>risk assessment. All organisations are required to have procedures for evacuation in the event of a fire</w:t>
            </w:r>
            <w:r w:rsidR="00A75C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A2C584" w14:textId="5140A3B4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0C733E97" w14:textId="77777777" w:rsidTr="00AF7356">
        <w:tc>
          <w:tcPr>
            <w:tcW w:w="4508" w:type="dxa"/>
          </w:tcPr>
          <w:p w14:paraId="68076B7F" w14:textId="3CF4F551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Special Waste Regulation (1996)</w:t>
            </w:r>
          </w:p>
        </w:tc>
        <w:tc>
          <w:tcPr>
            <w:tcW w:w="4508" w:type="dxa"/>
          </w:tcPr>
          <w:p w14:paraId="4F84D76A" w14:textId="418C2EEC" w:rsidR="00AF7356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Regulation and control of transit, import and export of waste and the prevention, reduction and elimination of pollution caused by waste</w:t>
            </w:r>
            <w:r w:rsidR="00A75C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FB3E5C3" w14:textId="023893A5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2AC8A63A" w14:textId="77777777" w:rsidTr="00AF7356">
        <w:tc>
          <w:tcPr>
            <w:tcW w:w="4508" w:type="dxa"/>
          </w:tcPr>
          <w:p w14:paraId="2D02BB8E" w14:textId="27A0D761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Environmental Protection Act (1990)</w:t>
            </w:r>
          </w:p>
        </w:tc>
        <w:tc>
          <w:tcPr>
            <w:tcW w:w="4508" w:type="dxa"/>
          </w:tcPr>
          <w:p w14:paraId="23C7F684" w14:textId="656685FF" w:rsidR="00AF7356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Provides for the improved control of pollution to the air, </w:t>
            </w:r>
            <w:proofErr w:type="gramStart"/>
            <w:r w:rsidRPr="008E3F3A">
              <w:rPr>
                <w:rFonts w:ascii="Arial" w:hAnsi="Arial" w:cs="Arial"/>
                <w:sz w:val="24"/>
                <w:szCs w:val="24"/>
              </w:rPr>
              <w:t>water</w:t>
            </w:r>
            <w:proofErr w:type="gramEnd"/>
            <w:r w:rsidRPr="008E3F3A">
              <w:rPr>
                <w:rFonts w:ascii="Arial" w:hAnsi="Arial" w:cs="Arial"/>
                <w:sz w:val="24"/>
                <w:szCs w:val="24"/>
              </w:rPr>
              <w:t xml:space="preserve"> and land by regulating the management of waste and the control of emissions</w:t>
            </w:r>
            <w:r w:rsidR="00A75C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CE203E9" w14:textId="3648D960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  <w:tr w:rsidR="00AF7356" w14:paraId="5D8C1EAB" w14:textId="77777777" w:rsidTr="00AF7356">
        <w:tc>
          <w:tcPr>
            <w:tcW w:w="4508" w:type="dxa"/>
          </w:tcPr>
          <w:p w14:paraId="1BD7D7B8" w14:textId="468DFB68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>Hazardous Waste Regulations (2005)</w:t>
            </w:r>
          </w:p>
        </w:tc>
        <w:tc>
          <w:tcPr>
            <w:tcW w:w="4508" w:type="dxa"/>
          </w:tcPr>
          <w:p w14:paraId="0FAF6A40" w14:textId="02B4CB23" w:rsidR="00AF7356" w:rsidRDefault="00AF7356" w:rsidP="00AF7356">
            <w:pPr>
              <w:rPr>
                <w:rFonts w:ascii="Arial" w:hAnsi="Arial" w:cs="Arial"/>
                <w:sz w:val="24"/>
                <w:szCs w:val="24"/>
              </w:rPr>
            </w:pPr>
            <w:r w:rsidRPr="008E3F3A">
              <w:rPr>
                <w:rFonts w:ascii="Arial" w:hAnsi="Arial" w:cs="Arial"/>
                <w:sz w:val="24"/>
                <w:szCs w:val="24"/>
              </w:rPr>
              <w:t xml:space="preserve">Controls the storage, </w:t>
            </w:r>
            <w:proofErr w:type="gramStart"/>
            <w:r w:rsidRPr="008E3F3A">
              <w:rPr>
                <w:rFonts w:ascii="Arial" w:hAnsi="Arial" w:cs="Arial"/>
                <w:sz w:val="24"/>
                <w:szCs w:val="24"/>
              </w:rPr>
              <w:t>transport</w:t>
            </w:r>
            <w:proofErr w:type="gramEnd"/>
            <w:r w:rsidRPr="008E3F3A">
              <w:rPr>
                <w:rFonts w:ascii="Arial" w:hAnsi="Arial" w:cs="Arial"/>
                <w:sz w:val="24"/>
                <w:szCs w:val="24"/>
              </w:rPr>
              <w:t xml:space="preserve"> and disposal of hazardous waste to ensure it is appropriately managed and</w:t>
            </w:r>
            <w:r w:rsidR="00A75C5C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8E3F3A">
              <w:rPr>
                <w:rFonts w:ascii="Arial" w:hAnsi="Arial" w:cs="Arial"/>
                <w:sz w:val="24"/>
                <w:szCs w:val="24"/>
              </w:rPr>
              <w:t xml:space="preserve"> risks are minimised</w:t>
            </w:r>
            <w:r w:rsidR="00A75C5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27B63DE" w14:textId="4948FA19" w:rsidR="00AF7356" w:rsidRDefault="00AF7356" w:rsidP="00AF7356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</w:p>
        </w:tc>
      </w:tr>
    </w:tbl>
    <w:p w14:paraId="43097743" w14:textId="77777777" w:rsidR="00AF7356" w:rsidRDefault="00AF7356">
      <w:pPr>
        <w:rPr>
          <w:rFonts w:ascii="Arial" w:hAnsi="Arial" w:cs="Arial"/>
          <w:noProof/>
          <w:sz w:val="24"/>
          <w:lang w:eastAsia="en-GB"/>
        </w:rPr>
      </w:pPr>
    </w:p>
    <w:p w14:paraId="6EE2498A" w14:textId="77FC1A7B" w:rsidR="00A535CB" w:rsidRDefault="00A535CB">
      <w:pPr>
        <w:rPr>
          <w:rFonts w:ascii="Arial" w:hAnsi="Arial" w:cs="Arial"/>
          <w:b/>
          <w:sz w:val="28"/>
        </w:rPr>
      </w:pPr>
    </w:p>
    <w:p w14:paraId="1D90DC51" w14:textId="77777777" w:rsidR="00A535CB" w:rsidRDefault="00A535CB">
      <w:pPr>
        <w:rPr>
          <w:rFonts w:ascii="Arial" w:hAnsi="Arial" w:cs="Arial"/>
          <w:b/>
          <w:sz w:val="28"/>
        </w:rPr>
      </w:pPr>
    </w:p>
    <w:p w14:paraId="1848D173" w14:textId="2FF9F6BD" w:rsidR="004F37D1" w:rsidRDefault="004F37D1">
      <w:pPr>
        <w:rPr>
          <w:rFonts w:ascii="Arial" w:hAnsi="Arial" w:cs="Arial"/>
          <w:b/>
          <w:sz w:val="28"/>
        </w:rPr>
      </w:pPr>
    </w:p>
    <w:p w14:paraId="237B6BB5" w14:textId="67C62CC3" w:rsidR="00BB3BA0" w:rsidRDefault="00BB3BA0">
      <w:pPr>
        <w:rPr>
          <w:rFonts w:ascii="Arial" w:hAnsi="Arial" w:cs="Arial"/>
          <w:b/>
          <w:sz w:val="28"/>
        </w:rPr>
      </w:pPr>
    </w:p>
    <w:p w14:paraId="38B01C8B" w14:textId="5743C2F5" w:rsidR="00BB3BA0" w:rsidRDefault="00BB3BA0">
      <w:pPr>
        <w:rPr>
          <w:rFonts w:ascii="Arial" w:hAnsi="Arial" w:cs="Arial"/>
          <w:b/>
          <w:sz w:val="28"/>
        </w:rPr>
      </w:pPr>
    </w:p>
    <w:p w14:paraId="68C6E086" w14:textId="30A07376" w:rsidR="00BB3BA0" w:rsidRDefault="00BB3BA0">
      <w:pPr>
        <w:rPr>
          <w:rFonts w:ascii="Arial" w:hAnsi="Arial" w:cs="Arial"/>
          <w:b/>
          <w:sz w:val="28"/>
        </w:rPr>
      </w:pPr>
    </w:p>
    <w:p w14:paraId="167A363C" w14:textId="173FE87A" w:rsidR="00BB3BA0" w:rsidRPr="004F37D1" w:rsidRDefault="00BB3BA0">
      <w:pPr>
        <w:rPr>
          <w:rFonts w:ascii="Arial" w:hAnsi="Arial" w:cs="Arial"/>
          <w:b/>
          <w:sz w:val="2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</w:rPr>
        <w:t>St John Rigby College is delivering this programme on behalf of the Education and Training Foundation. This programme is funded by the Department for Education. </w:t>
      </w:r>
      <w:r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</w:p>
    <w:sectPr w:rsidR="00BB3BA0" w:rsidRPr="004F37D1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9D238" w14:textId="77777777" w:rsidR="009331C6" w:rsidRDefault="009331C6" w:rsidP="004F37D1">
      <w:pPr>
        <w:spacing w:after="0" w:line="240" w:lineRule="auto"/>
      </w:pPr>
      <w:r>
        <w:separator/>
      </w:r>
    </w:p>
  </w:endnote>
  <w:endnote w:type="continuationSeparator" w:id="0">
    <w:p w14:paraId="6131F91B" w14:textId="77777777" w:rsidR="009331C6" w:rsidRDefault="009331C6" w:rsidP="004F3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507E8" w14:textId="77777777" w:rsidR="009331C6" w:rsidRDefault="009331C6" w:rsidP="004F37D1">
      <w:pPr>
        <w:spacing w:after="0" w:line="240" w:lineRule="auto"/>
      </w:pPr>
      <w:r>
        <w:separator/>
      </w:r>
    </w:p>
  </w:footnote>
  <w:footnote w:type="continuationSeparator" w:id="0">
    <w:p w14:paraId="475DBB49" w14:textId="77777777" w:rsidR="009331C6" w:rsidRDefault="009331C6" w:rsidP="004F3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5BC8" w14:textId="06440B64" w:rsidR="00A535CB" w:rsidRDefault="00085EBC">
    <w:pPr>
      <w:pStyle w:val="Header"/>
    </w:pPr>
    <w:r>
      <w:ptab w:relativeTo="margin" w:alignment="right" w:leader="none"/>
    </w:r>
  </w:p>
  <w:p w14:paraId="27310131" w14:textId="77777777" w:rsidR="00A535CB" w:rsidRDefault="00A535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E09"/>
    <w:multiLevelType w:val="hybridMultilevel"/>
    <w:tmpl w:val="0F186E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5612CD9"/>
    <w:multiLevelType w:val="hybridMultilevel"/>
    <w:tmpl w:val="90FA5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6F472F"/>
    <w:multiLevelType w:val="hybridMultilevel"/>
    <w:tmpl w:val="2EDAA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E3DDC"/>
    <w:multiLevelType w:val="hybridMultilevel"/>
    <w:tmpl w:val="B98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65442"/>
    <w:multiLevelType w:val="hybridMultilevel"/>
    <w:tmpl w:val="4A064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537761">
    <w:abstractNumId w:val="1"/>
  </w:num>
  <w:num w:numId="2" w16cid:durableId="1578595519">
    <w:abstractNumId w:val="3"/>
  </w:num>
  <w:num w:numId="3" w16cid:durableId="1761026626">
    <w:abstractNumId w:val="2"/>
  </w:num>
  <w:num w:numId="4" w16cid:durableId="1075737156">
    <w:abstractNumId w:val="0"/>
  </w:num>
  <w:num w:numId="5" w16cid:durableId="6026870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D1"/>
    <w:rsid w:val="00000113"/>
    <w:rsid w:val="00085EBC"/>
    <w:rsid w:val="00093E1C"/>
    <w:rsid w:val="002B13B3"/>
    <w:rsid w:val="0036130A"/>
    <w:rsid w:val="00433929"/>
    <w:rsid w:val="004F37D1"/>
    <w:rsid w:val="005E025C"/>
    <w:rsid w:val="00696FC2"/>
    <w:rsid w:val="008A7EDF"/>
    <w:rsid w:val="008B3589"/>
    <w:rsid w:val="009331C6"/>
    <w:rsid w:val="009B1D9C"/>
    <w:rsid w:val="00A535CB"/>
    <w:rsid w:val="00A75C5C"/>
    <w:rsid w:val="00A858E2"/>
    <w:rsid w:val="00AF7356"/>
    <w:rsid w:val="00BB3BA0"/>
    <w:rsid w:val="00BE40AA"/>
    <w:rsid w:val="00C83F19"/>
    <w:rsid w:val="00CB0AB1"/>
    <w:rsid w:val="00D30E18"/>
    <w:rsid w:val="00D40B8E"/>
    <w:rsid w:val="00D75055"/>
    <w:rsid w:val="00E032EE"/>
    <w:rsid w:val="00E500F1"/>
    <w:rsid w:val="00EB3A97"/>
    <w:rsid w:val="00EB61B8"/>
    <w:rsid w:val="00ED7B73"/>
    <w:rsid w:val="00F227C2"/>
    <w:rsid w:val="00F24C31"/>
    <w:rsid w:val="00F40783"/>
    <w:rsid w:val="00FD5F17"/>
    <w:rsid w:val="7EBE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39EA6"/>
  <w15:chartTrackingRefBased/>
  <w15:docId w15:val="{5B91D124-E893-435D-B91A-A8E2787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7D1"/>
  </w:style>
  <w:style w:type="paragraph" w:styleId="Footer">
    <w:name w:val="footer"/>
    <w:basedOn w:val="Normal"/>
    <w:link w:val="Foot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7D1"/>
  </w:style>
  <w:style w:type="paragraph" w:styleId="ListParagraph">
    <w:name w:val="List Paragraph"/>
    <w:basedOn w:val="Normal"/>
    <w:uiPriority w:val="34"/>
    <w:qFormat/>
    <w:rsid w:val="004F37D1"/>
    <w:pPr>
      <w:ind w:left="720"/>
      <w:contextualSpacing/>
    </w:pPr>
  </w:style>
  <w:style w:type="table" w:styleId="TableGrid">
    <w:name w:val="Table Grid"/>
    <w:basedOn w:val="TableNormal"/>
    <w:uiPriority w:val="39"/>
    <w:rsid w:val="00A5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6130A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BB3BA0"/>
  </w:style>
  <w:style w:type="character" w:customStyle="1" w:styleId="eop">
    <w:name w:val="eop"/>
    <w:basedOn w:val="DefaultParagraphFont"/>
    <w:rsid w:val="00BB3B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547563A-18EF-4AD3-A3C5-BAD04BBC9122}"/>
</file>

<file path=customXml/itemProps2.xml><?xml version="1.0" encoding="utf-8"?>
<ds:datastoreItem xmlns:ds="http://schemas.openxmlformats.org/officeDocument/2006/customXml" ds:itemID="{98F30FD4-5131-41F1-B85C-9C8864E446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E94BF4-154B-4AD1-8DE0-743CF5AA9D8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Preston College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CALDERBANK</dc:creator>
  <cp:keywords/>
  <dc:description/>
  <cp:lastModifiedBy>Rebecca Ferdinand</cp:lastModifiedBy>
  <cp:revision>2</cp:revision>
  <dcterms:created xsi:type="dcterms:W3CDTF">2022-10-05T14:10:00Z</dcterms:created>
  <dcterms:modified xsi:type="dcterms:W3CDTF">2022-10-05T14:10:00Z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